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7305" w14:textId="4F5854CC" w:rsidR="007E307F" w:rsidRPr="00B57647" w:rsidRDefault="00F57A98" w:rsidP="008308DA">
      <w:pPr>
        <w:spacing w:after="240" w:line="250" w:lineRule="auto"/>
        <w:jc w:val="center"/>
      </w:pPr>
      <w:bookmarkStart w:id="0" w:name="_Hlk123302951"/>
      <w:r>
        <w:rPr>
          <w:b/>
          <w:bCs/>
        </w:rPr>
        <w:t>Christina Lake Cannabis</w:t>
      </w:r>
      <w:r w:rsidR="007E307F" w:rsidRPr="00C84FE5">
        <w:rPr>
          <w:b/>
          <w:bCs/>
        </w:rPr>
        <w:t xml:space="preserve"> </w:t>
      </w:r>
      <w:r w:rsidR="00692934">
        <w:rPr>
          <w:b/>
          <w:bCs/>
        </w:rPr>
        <w:t>Provides Bi-Weekly Update on Status of MCTO</w:t>
      </w:r>
    </w:p>
    <w:p w14:paraId="494A36C5" w14:textId="4CE4F994" w:rsidR="007E307F" w:rsidRDefault="00AF4261" w:rsidP="00C84FE5">
      <w:pPr>
        <w:spacing w:after="240" w:line="250" w:lineRule="auto"/>
        <w:jc w:val="both"/>
        <w:rPr>
          <w:rFonts w:ascii="Calibri" w:hAnsi="Calibri" w:cs="Calibri"/>
          <w:lang w:val="en-CA" w:eastAsia="en-CA"/>
        </w:rPr>
      </w:pPr>
      <w:r>
        <w:t>April</w:t>
      </w:r>
      <w:r w:rsidR="007E307F" w:rsidRPr="00C84FE5">
        <w:t xml:space="preserve"> </w:t>
      </w:r>
      <w:r w:rsidR="00967744">
        <w:rPr>
          <w:rFonts w:cstheme="minorHAnsi"/>
        </w:rPr>
        <w:t>17</w:t>
      </w:r>
      <w:r w:rsidR="00E77B4A" w:rsidRPr="00C84FE5">
        <w:t xml:space="preserve">, </w:t>
      </w:r>
      <w:r w:rsidR="007E307F" w:rsidRPr="00C84FE5">
        <w:t>202</w:t>
      </w:r>
      <w:r w:rsidR="00F57A98">
        <w:t>4</w:t>
      </w:r>
      <w:r w:rsidR="00C84FE5" w:rsidRPr="00C84FE5">
        <w:t xml:space="preserve"> </w:t>
      </w:r>
      <w:r w:rsidR="00E1314B">
        <w:t>–</w:t>
      </w:r>
      <w:r w:rsidR="00126B43" w:rsidRPr="00126B43">
        <w:t xml:space="preserve"> </w:t>
      </w:r>
      <w:r w:rsidR="00F57A98">
        <w:t>Vancouver, BC</w:t>
      </w:r>
      <w:r w:rsidR="00126B43" w:rsidRPr="00126B43">
        <w:t xml:space="preserve"> </w:t>
      </w:r>
      <w:r w:rsidR="00E1314B">
        <w:t>–</w:t>
      </w:r>
      <w:r w:rsidR="00126B43" w:rsidRPr="00126B43">
        <w:t xml:space="preserve"> </w:t>
      </w:r>
      <w:r w:rsidR="00F57A98">
        <w:rPr>
          <w:b/>
          <w:bCs/>
        </w:rPr>
        <w:t xml:space="preserve">Christina Lake Cannabis Corp. </w:t>
      </w:r>
      <w:r w:rsidR="00126B43" w:rsidRPr="00126B43">
        <w:t>(</w:t>
      </w:r>
      <w:r w:rsidR="00126B43">
        <w:t>"</w:t>
      </w:r>
      <w:r w:rsidR="00F57A98">
        <w:rPr>
          <w:b/>
          <w:bCs/>
        </w:rPr>
        <w:t>CLC</w:t>
      </w:r>
      <w:r w:rsidR="00126B43">
        <w:t>"</w:t>
      </w:r>
      <w:r w:rsidR="00126B43" w:rsidRPr="00126B43">
        <w:t xml:space="preserve"> or the </w:t>
      </w:r>
      <w:r w:rsidR="00126B43">
        <w:t>"</w:t>
      </w:r>
      <w:r w:rsidR="00126B43" w:rsidRPr="00126B43">
        <w:rPr>
          <w:b/>
          <w:bCs/>
        </w:rPr>
        <w:t>Company</w:t>
      </w:r>
      <w:r w:rsidR="00126B43">
        <w:t>"</w:t>
      </w:r>
      <w:r w:rsidR="00126B43" w:rsidRPr="00126B43">
        <w:t>) (</w:t>
      </w:r>
      <w:r w:rsidR="00F57A98">
        <w:t>CSE</w:t>
      </w:r>
      <w:r w:rsidR="00126B43" w:rsidRPr="00126B43">
        <w:t xml:space="preserve">: </w:t>
      </w:r>
      <w:r w:rsidR="00F57A98">
        <w:t>CLC</w:t>
      </w:r>
      <w:r w:rsidR="00126B43" w:rsidRPr="00126B43">
        <w:t xml:space="preserve">) </w:t>
      </w:r>
      <w:r w:rsidR="00293324">
        <w:t xml:space="preserve">is providing an update with respect to the expected timeline for filing its audited </w:t>
      </w:r>
      <w:r w:rsidR="00293324" w:rsidRPr="00293324">
        <w:rPr>
          <w:rFonts w:ascii="Calibri" w:hAnsi="Calibri" w:cs="Calibri"/>
          <w:lang w:val="en-CA" w:eastAsia="en-CA"/>
        </w:rPr>
        <w:t xml:space="preserve">financial statements for the fiscal year ended </w:t>
      </w:r>
      <w:r w:rsidR="00293324">
        <w:rPr>
          <w:rFonts w:ascii="Calibri" w:hAnsi="Calibri" w:cs="Calibri"/>
          <w:lang w:val="en-CA" w:eastAsia="en-CA"/>
        </w:rPr>
        <w:t>November 30</w:t>
      </w:r>
      <w:r w:rsidR="00293324" w:rsidRPr="00293324">
        <w:rPr>
          <w:rFonts w:ascii="Calibri" w:hAnsi="Calibri" w:cs="Calibri"/>
          <w:lang w:val="en-CA" w:eastAsia="en-CA"/>
        </w:rPr>
        <w:t xml:space="preserve">, 2023, the related management's discussion and analysis and certificates of its CEO and CFO (collectively, the "Required Documents") and its previously announced management cease trade order ("MCTO") issued by the Company's principal regulator, the British Columbia Securities Commission (the "BCSC"), on </w:t>
      </w:r>
      <w:r w:rsidR="00555EF0" w:rsidRPr="00555EF0">
        <w:rPr>
          <w:rFonts w:ascii="Calibri" w:hAnsi="Calibri" w:cs="Calibri"/>
          <w:lang w:val="en-CA" w:eastAsia="en-CA"/>
        </w:rPr>
        <w:t>April 3</w:t>
      </w:r>
      <w:r w:rsidR="00293324" w:rsidRPr="00555EF0">
        <w:rPr>
          <w:rFonts w:ascii="Calibri" w:hAnsi="Calibri" w:cs="Calibri"/>
          <w:lang w:val="en-CA" w:eastAsia="en-CA"/>
        </w:rPr>
        <w:t>, 2024.</w:t>
      </w:r>
      <w:r w:rsidR="00293324" w:rsidRPr="00293324">
        <w:rPr>
          <w:rFonts w:ascii="Calibri" w:hAnsi="Calibri" w:cs="Calibri"/>
          <w:lang w:val="en-CA" w:eastAsia="en-CA"/>
        </w:rPr>
        <w:t xml:space="preserve"> As previously announced, pursuant to the MCTO, the CEO and CFO of the Company may not trade in securities of the Company until such time as the Company files the Required Documents and the BCSC revokes the MCTO. The MCTO does not affect the ability of other shareholders of the Company to trade in securities of the Company.</w:t>
      </w:r>
    </w:p>
    <w:p w14:paraId="620400FE" w14:textId="0F3815B0" w:rsidR="00076FB9" w:rsidRDefault="00076FB9" w:rsidP="00C84FE5">
      <w:pPr>
        <w:spacing w:after="240" w:line="250" w:lineRule="auto"/>
        <w:jc w:val="both"/>
        <w:rPr>
          <w:rFonts w:ascii="Calibri" w:hAnsi="Calibri" w:cs="Calibri"/>
          <w:lang w:val="en-CA" w:eastAsia="en-CA"/>
        </w:rPr>
      </w:pPr>
      <w:r w:rsidRPr="00076FB9">
        <w:rPr>
          <w:rFonts w:ascii="Calibri" w:hAnsi="Calibri" w:cs="Calibri"/>
          <w:lang w:val="en-CA" w:eastAsia="en-CA"/>
        </w:rPr>
        <w:t xml:space="preserve">Pursuant to the provisions of the alternative information guidelines specified in National Policy 12-203 - Management Cease Trade Orders ("NP 12-203"), the Company confirms that, as of the date of this news release: (a) there have been no material changes to the information contained in the default announcement issued on </w:t>
      </w:r>
      <w:r w:rsidR="003E76F0">
        <w:rPr>
          <w:rFonts w:ascii="Calibri" w:hAnsi="Calibri" w:cs="Calibri"/>
          <w:lang w:val="en-CA" w:eastAsia="en-CA"/>
        </w:rPr>
        <w:t>April 3</w:t>
      </w:r>
      <w:r w:rsidRPr="00076FB9">
        <w:rPr>
          <w:rFonts w:ascii="Calibri" w:hAnsi="Calibri" w:cs="Calibri"/>
          <w:lang w:val="en-CA" w:eastAsia="en-CA"/>
        </w:rPr>
        <w:t>, 2024 (the "Default Announcement") that would reasonably be expected to be material to an investor; (b) there have been no failures by the Company to fulfill its stated intentions with respect to satisfying the provisions of the alternative reporting guidelines under NP 12-203; (c) there has not been, nor is there anticipated to be, any specified default subsequent to the default which is the subject of the Default Announcement; and (d) there is no other material information concerning the affairs of the Company that has not been generally disclosed.</w:t>
      </w:r>
    </w:p>
    <w:p w14:paraId="7713ADD0" w14:textId="45D544C2" w:rsidR="00076FB9" w:rsidRDefault="00C50C2A" w:rsidP="00BF40E1">
      <w:pPr>
        <w:jc w:val="both"/>
      </w:pPr>
      <w:r>
        <w:t xml:space="preserve">The Company confirms as of the date of this news release that there is no insolvency proceeding against it and there is no other material information concerning the affairs of the Company that has not been disclosed. The Company expects to file the Annual Filings as soon as they are available. </w:t>
      </w:r>
      <w:proofErr w:type="gramStart"/>
      <w:r>
        <w:t>At this time</w:t>
      </w:r>
      <w:proofErr w:type="gramEnd"/>
      <w:r>
        <w:t xml:space="preserve"> the Company anticipates completion no later than May 31, 2024.</w:t>
      </w:r>
    </w:p>
    <w:p w14:paraId="067B2338" w14:textId="2142649E" w:rsidR="00BF40E1" w:rsidRPr="00C84FE5" w:rsidRDefault="00BF40E1" w:rsidP="00BF40E1">
      <w:pPr>
        <w:jc w:val="both"/>
      </w:pPr>
      <w:r w:rsidRPr="00BF40E1">
        <w:t>The MCTO will stay in effect until the Annual Filings are completed and the Company will continue to issue bi-weekly default status reports as required.</w:t>
      </w:r>
    </w:p>
    <w:bookmarkEnd w:id="0"/>
    <w:p w14:paraId="06ED8519" w14:textId="5A16EFD3" w:rsidR="00C84FE5" w:rsidRPr="00C84FE5" w:rsidRDefault="00C84FE5" w:rsidP="00C84FE5">
      <w:pPr>
        <w:spacing w:after="240" w:line="250" w:lineRule="auto"/>
        <w:rPr>
          <w:b/>
        </w:rPr>
      </w:pPr>
      <w:r w:rsidRPr="00C84FE5">
        <w:rPr>
          <w:b/>
        </w:rPr>
        <w:t xml:space="preserve">ABOUT </w:t>
      </w:r>
      <w:r w:rsidR="00F57A98">
        <w:rPr>
          <w:b/>
        </w:rPr>
        <w:t>CLC</w:t>
      </w:r>
    </w:p>
    <w:p w14:paraId="36918E01" w14:textId="4CFD4CC0" w:rsidR="00E1314B" w:rsidRDefault="00F57A98" w:rsidP="00E1314B">
      <w:pPr>
        <w:spacing w:after="0" w:line="250" w:lineRule="auto"/>
        <w:jc w:val="both"/>
      </w:pPr>
      <w:r w:rsidRPr="00F57A98">
        <w:t>Christina Lake Cannabis is a licensed producer of cannabis under the Cannabis Act. It has secured a standard cultivation license and corresponding processing amendment from Health Canada (March 2020 and August 2020, respectively) as well as a research and development license (early 2020). Christina Lake Cannabis’ facility consists of a 32-acre property, which includes over 950,000 square feet of outdoor grow space, offices, propagation and drying rooms, research facilities, and a facility dedicated to processing and extraction. Christina Lake Cannabis also owns a 99-acre plot of land adjoining its principal site.  CLC focuses its production on creating high quality extracts and distillate for its B2B client base with proprietary strains specifically developed for outdoor cultivation to enhance extraction quality.</w:t>
      </w:r>
      <w:r w:rsidR="00E1314B">
        <w:cr/>
      </w:r>
    </w:p>
    <w:p w14:paraId="4FF58693" w14:textId="77777777" w:rsidR="00F57A98" w:rsidRDefault="00F57A98" w:rsidP="00F57A98">
      <w:pPr>
        <w:spacing w:after="240" w:line="250" w:lineRule="auto"/>
        <w:jc w:val="both"/>
      </w:pPr>
      <w:r>
        <w:t xml:space="preserve">For more information about CLC, please visit: </w:t>
      </w:r>
      <w:proofErr w:type="gramStart"/>
      <w:r>
        <w:t>www.christinalakecannabis.com</w:t>
      </w:r>
      <w:proofErr w:type="gramEnd"/>
    </w:p>
    <w:p w14:paraId="2C1AF555" w14:textId="77777777" w:rsidR="00F57A98" w:rsidRDefault="00F57A98" w:rsidP="00F57A98">
      <w:pPr>
        <w:spacing w:after="0" w:line="250" w:lineRule="auto"/>
        <w:jc w:val="both"/>
      </w:pPr>
      <w:r>
        <w:t>Jennifer Smith</w:t>
      </w:r>
    </w:p>
    <w:p w14:paraId="214284B0" w14:textId="77777777" w:rsidR="00F57A98" w:rsidRDefault="00F57A98" w:rsidP="00F57A98">
      <w:pPr>
        <w:spacing w:after="0" w:line="250" w:lineRule="auto"/>
        <w:jc w:val="both"/>
      </w:pPr>
      <w:r>
        <w:t>Investor Relations and Media Inquiries</w:t>
      </w:r>
    </w:p>
    <w:p w14:paraId="0FE9205E" w14:textId="25094D62" w:rsidR="00F57A98" w:rsidRDefault="00BF40E1" w:rsidP="00F57A98">
      <w:pPr>
        <w:spacing w:after="0" w:line="250" w:lineRule="auto"/>
        <w:jc w:val="both"/>
      </w:pPr>
      <w:hyperlink r:id="rId7" w:history="1">
        <w:r w:rsidR="00F57A98" w:rsidRPr="00270243">
          <w:rPr>
            <w:rStyle w:val="Hyperlink"/>
          </w:rPr>
          <w:t>investors@clcannabis.com</w:t>
        </w:r>
      </w:hyperlink>
      <w:r w:rsidR="00F57A98">
        <w:t xml:space="preserve"> </w:t>
      </w:r>
    </w:p>
    <w:p w14:paraId="12278458" w14:textId="77777777" w:rsidR="00F57A98" w:rsidRDefault="00F57A98" w:rsidP="00F57A98">
      <w:pPr>
        <w:spacing w:after="0" w:line="250" w:lineRule="auto"/>
        <w:jc w:val="both"/>
      </w:pPr>
      <w:r>
        <w:t>902-229-7265</w:t>
      </w:r>
    </w:p>
    <w:p w14:paraId="72594BB2" w14:textId="77777777" w:rsidR="00F57A98" w:rsidRDefault="00F57A98" w:rsidP="00F57A98">
      <w:pPr>
        <w:spacing w:after="0" w:line="250" w:lineRule="auto"/>
        <w:jc w:val="both"/>
      </w:pPr>
    </w:p>
    <w:p w14:paraId="22957A79" w14:textId="77777777" w:rsidR="00C50C2A" w:rsidRDefault="00C50C2A" w:rsidP="00F57A98">
      <w:pPr>
        <w:spacing w:after="240" w:line="250" w:lineRule="auto"/>
        <w:jc w:val="both"/>
        <w:rPr>
          <w:rStyle w:val="Hyperlink"/>
          <w:b/>
          <w:bCs/>
          <w:color w:val="auto"/>
          <w:u w:val="none"/>
        </w:rPr>
      </w:pPr>
    </w:p>
    <w:p w14:paraId="11497FE8" w14:textId="77777777" w:rsidR="00C50C2A" w:rsidRDefault="00C50C2A" w:rsidP="00F57A98">
      <w:pPr>
        <w:spacing w:after="240" w:line="250" w:lineRule="auto"/>
        <w:jc w:val="both"/>
        <w:rPr>
          <w:rStyle w:val="Hyperlink"/>
          <w:b/>
          <w:bCs/>
          <w:color w:val="auto"/>
          <w:u w:val="none"/>
        </w:rPr>
      </w:pPr>
    </w:p>
    <w:p w14:paraId="68850D4F" w14:textId="5B8826E8" w:rsidR="003F19B6" w:rsidRDefault="006716C9" w:rsidP="00F57A98">
      <w:pPr>
        <w:spacing w:after="240" w:line="250" w:lineRule="auto"/>
        <w:jc w:val="both"/>
        <w:rPr>
          <w:rStyle w:val="Hyperlink"/>
          <w:color w:val="auto"/>
          <w:u w:val="none"/>
        </w:rPr>
      </w:pPr>
      <w:r w:rsidRPr="00BA5A8F">
        <w:rPr>
          <w:rStyle w:val="Hyperlink"/>
          <w:b/>
          <w:bCs/>
          <w:color w:val="auto"/>
          <w:u w:val="none"/>
        </w:rPr>
        <w:t>Forward Looking Information</w:t>
      </w:r>
      <w:r w:rsidR="00DF64F3">
        <w:rPr>
          <w:rStyle w:val="Hyperlink"/>
          <w:b/>
          <w:bCs/>
          <w:color w:val="auto"/>
          <w:u w:val="none"/>
        </w:rPr>
        <w:t xml:space="preserve"> and Risk Factors</w:t>
      </w:r>
      <w:r w:rsidRPr="00BA5A8F">
        <w:rPr>
          <w:rStyle w:val="Hyperlink"/>
          <w:color w:val="auto"/>
          <w:u w:val="none"/>
        </w:rPr>
        <w:t xml:space="preserve"> </w:t>
      </w:r>
    </w:p>
    <w:p w14:paraId="535C7347" w14:textId="3F1AF7A7" w:rsidR="006716C9" w:rsidRDefault="006716C9" w:rsidP="006716C9">
      <w:pPr>
        <w:spacing w:after="240" w:line="250" w:lineRule="auto"/>
        <w:jc w:val="both"/>
      </w:pPr>
      <w:r w:rsidRPr="00BA5A8F">
        <w:t xml:space="preserve">This </w:t>
      </w:r>
      <w:r w:rsidR="00BA5A8F">
        <w:t>news</w:t>
      </w:r>
      <w:r w:rsidRPr="00BA5A8F">
        <w:t xml:space="preserve"> release contains statements and information that may constitute </w:t>
      </w:r>
      <w:r w:rsidR="00126B43">
        <w:t>"</w:t>
      </w:r>
      <w:r w:rsidRPr="00BA5A8F">
        <w:t>forward-looking information</w:t>
      </w:r>
      <w:r w:rsidR="00126B43">
        <w:t>"</w:t>
      </w:r>
      <w:r w:rsidRPr="00BA5A8F">
        <w:t xml:space="preserve"> within the meaning of applicable securities legislation, including statements identified </w:t>
      </w:r>
      <w:proofErr w:type="gramStart"/>
      <w:r w:rsidRPr="00BA5A8F">
        <w:t>by the use of</w:t>
      </w:r>
      <w:proofErr w:type="gramEnd"/>
      <w:r w:rsidRPr="00BA5A8F">
        <w:t xml:space="preserve"> words such as </w:t>
      </w:r>
      <w:r w:rsidR="00126B43">
        <w:t>"</w:t>
      </w:r>
      <w:r w:rsidRPr="00BA5A8F">
        <w:t>will</w:t>
      </w:r>
      <w:r w:rsidR="00126B43">
        <w:t>"</w:t>
      </w:r>
      <w:r w:rsidRPr="00BA5A8F">
        <w:t xml:space="preserve">, </w:t>
      </w:r>
      <w:r w:rsidR="00126B43">
        <w:t>"</w:t>
      </w:r>
      <w:r w:rsidRPr="00BA5A8F">
        <w:t>expects</w:t>
      </w:r>
      <w:r w:rsidR="00126B43">
        <w:t>"</w:t>
      </w:r>
      <w:r w:rsidRPr="00BA5A8F">
        <w:t xml:space="preserve">, </w:t>
      </w:r>
      <w:r w:rsidR="00126B43">
        <w:t>"</w:t>
      </w:r>
      <w:r w:rsidRPr="00BA5A8F">
        <w:t>positions</w:t>
      </w:r>
      <w:r w:rsidR="00126B43">
        <w:t>"</w:t>
      </w:r>
      <w:r w:rsidRPr="00BA5A8F">
        <w:t xml:space="preserve">, </w:t>
      </w:r>
      <w:r w:rsidR="00126B43">
        <w:t>"</w:t>
      </w:r>
      <w:r w:rsidRPr="00BA5A8F">
        <w:t>believe</w:t>
      </w:r>
      <w:r w:rsidR="00126B43">
        <w:t>"</w:t>
      </w:r>
      <w:r w:rsidRPr="00BA5A8F">
        <w:t xml:space="preserve">, </w:t>
      </w:r>
      <w:r w:rsidR="00126B43">
        <w:t>"</w:t>
      </w:r>
      <w:r w:rsidRPr="00BA5A8F">
        <w:t>potential</w:t>
      </w:r>
      <w:r w:rsidR="00126B43">
        <w:t>"</w:t>
      </w:r>
      <w:r w:rsidRPr="00BA5A8F">
        <w:t xml:space="preserve"> and similar words, including negatives thereof, or other similar expressions concerning matters that are not historical facts. </w:t>
      </w:r>
    </w:p>
    <w:p w14:paraId="299380C7" w14:textId="35BDE27A" w:rsidR="000E4B07" w:rsidRDefault="003201C3" w:rsidP="003201C3">
      <w:pPr>
        <w:spacing w:after="240" w:line="250" w:lineRule="auto"/>
        <w:jc w:val="both"/>
        <w:rPr>
          <w:rStyle w:val="Hyperlink"/>
          <w:color w:val="auto"/>
          <w:u w:val="none"/>
        </w:rPr>
      </w:pPr>
      <w:r w:rsidRPr="003201C3">
        <w:rPr>
          <w:rStyle w:val="Hyperlink"/>
          <w:color w:val="auto"/>
          <w:u w:val="none"/>
        </w:rPr>
        <w:t xml:space="preserve">Such forward-looking information </w:t>
      </w:r>
      <w:r w:rsidR="00BA5A8F">
        <w:rPr>
          <w:rStyle w:val="Hyperlink"/>
          <w:color w:val="auto"/>
          <w:u w:val="none"/>
        </w:rPr>
        <w:t xml:space="preserve">is </w:t>
      </w:r>
      <w:r w:rsidRPr="003201C3">
        <w:rPr>
          <w:rStyle w:val="Hyperlink"/>
          <w:color w:val="auto"/>
          <w:u w:val="none"/>
        </w:rPr>
        <w:t>not representative of historical facts or information or current condition, but instead represent only the</w:t>
      </w:r>
      <w:r w:rsidR="006716C9">
        <w:rPr>
          <w:rStyle w:val="Hyperlink"/>
          <w:color w:val="auto"/>
          <w:u w:val="none"/>
        </w:rPr>
        <w:t xml:space="preserve"> </w:t>
      </w:r>
      <w:r w:rsidRPr="003201C3">
        <w:rPr>
          <w:rStyle w:val="Hyperlink"/>
          <w:color w:val="auto"/>
          <w:u w:val="none"/>
        </w:rPr>
        <w:t>Company's beliefs regarding future events, plans or objectives, many of which, by their nature, are inherently uncertain and</w:t>
      </w:r>
      <w:r w:rsidR="006716C9">
        <w:rPr>
          <w:rStyle w:val="Hyperlink"/>
          <w:color w:val="auto"/>
          <w:u w:val="none"/>
        </w:rPr>
        <w:t xml:space="preserve"> </w:t>
      </w:r>
      <w:r w:rsidRPr="003201C3">
        <w:rPr>
          <w:rStyle w:val="Hyperlink"/>
          <w:color w:val="auto"/>
          <w:u w:val="none"/>
        </w:rPr>
        <w:t>outside of the Company's control. Generally, such forward-looking information can be identified</w:t>
      </w:r>
      <w:r w:rsidR="006716C9">
        <w:rPr>
          <w:rStyle w:val="Hyperlink"/>
          <w:color w:val="auto"/>
          <w:u w:val="none"/>
        </w:rPr>
        <w:t xml:space="preserve"> </w:t>
      </w:r>
      <w:r w:rsidRPr="003201C3">
        <w:rPr>
          <w:rStyle w:val="Hyperlink"/>
          <w:color w:val="auto"/>
          <w:u w:val="none"/>
        </w:rPr>
        <w:t xml:space="preserve">by the use of forward-looking terminology such as </w:t>
      </w:r>
      <w:r w:rsidR="00126B43">
        <w:rPr>
          <w:rStyle w:val="Hyperlink"/>
          <w:color w:val="auto"/>
          <w:u w:val="none"/>
        </w:rPr>
        <w:t>"</w:t>
      </w:r>
      <w:r w:rsidRPr="003201C3">
        <w:rPr>
          <w:rStyle w:val="Hyperlink"/>
          <w:color w:val="auto"/>
          <w:u w:val="none"/>
        </w:rPr>
        <w:t>plans</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expects</w:t>
      </w:r>
      <w:r w:rsidR="00126B43">
        <w:rPr>
          <w:rStyle w:val="Hyperlink"/>
          <w:color w:val="auto"/>
          <w:u w:val="none"/>
        </w:rPr>
        <w:t>"</w:t>
      </w:r>
      <w:r w:rsidRPr="003201C3">
        <w:rPr>
          <w:rStyle w:val="Hyperlink"/>
          <w:color w:val="auto"/>
          <w:u w:val="none"/>
        </w:rPr>
        <w:t xml:space="preserve"> or </w:t>
      </w:r>
      <w:r w:rsidR="00126B43">
        <w:rPr>
          <w:rStyle w:val="Hyperlink"/>
          <w:color w:val="auto"/>
          <w:u w:val="none"/>
        </w:rPr>
        <w:t>"</w:t>
      </w:r>
      <w:r w:rsidRPr="003201C3">
        <w:rPr>
          <w:rStyle w:val="Hyperlink"/>
          <w:color w:val="auto"/>
          <w:u w:val="none"/>
        </w:rPr>
        <w:t>does not expect</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is expected</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budget</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scheduled</w:t>
      </w:r>
      <w:r w:rsidR="00126B43">
        <w:rPr>
          <w:rStyle w:val="Hyperlink"/>
          <w:color w:val="auto"/>
          <w:u w:val="none"/>
        </w:rPr>
        <w:t>"</w:t>
      </w:r>
      <w:r w:rsidRPr="003201C3">
        <w:rPr>
          <w:rStyle w:val="Hyperlink"/>
          <w:color w:val="auto"/>
          <w:u w:val="none"/>
        </w:rPr>
        <w:t>,</w:t>
      </w:r>
      <w:r w:rsidR="006716C9">
        <w:rPr>
          <w:rStyle w:val="Hyperlink"/>
          <w:color w:val="auto"/>
          <w:u w:val="none"/>
        </w:rPr>
        <w:t xml:space="preserve"> </w:t>
      </w:r>
      <w:r w:rsidR="00126B43">
        <w:rPr>
          <w:rStyle w:val="Hyperlink"/>
          <w:color w:val="auto"/>
          <w:u w:val="none"/>
        </w:rPr>
        <w:t>"</w:t>
      </w:r>
      <w:r w:rsidRPr="003201C3">
        <w:rPr>
          <w:rStyle w:val="Hyperlink"/>
          <w:color w:val="auto"/>
          <w:u w:val="none"/>
        </w:rPr>
        <w:t>estimates</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forecasts</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intends</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anticipates</w:t>
      </w:r>
      <w:r w:rsidR="00126B43">
        <w:rPr>
          <w:rStyle w:val="Hyperlink"/>
          <w:color w:val="auto"/>
          <w:u w:val="none"/>
        </w:rPr>
        <w:t>"</w:t>
      </w:r>
      <w:r w:rsidRPr="003201C3">
        <w:rPr>
          <w:rStyle w:val="Hyperlink"/>
          <w:color w:val="auto"/>
          <w:u w:val="none"/>
        </w:rPr>
        <w:t xml:space="preserve"> or </w:t>
      </w:r>
      <w:r w:rsidR="00126B43">
        <w:rPr>
          <w:rStyle w:val="Hyperlink"/>
          <w:color w:val="auto"/>
          <w:u w:val="none"/>
        </w:rPr>
        <w:t>"</w:t>
      </w:r>
      <w:r w:rsidRPr="003201C3">
        <w:rPr>
          <w:rStyle w:val="Hyperlink"/>
          <w:color w:val="auto"/>
          <w:u w:val="none"/>
        </w:rPr>
        <w:t>does not anticipate</w:t>
      </w:r>
      <w:r w:rsidR="00126B43">
        <w:rPr>
          <w:rStyle w:val="Hyperlink"/>
          <w:color w:val="auto"/>
          <w:u w:val="none"/>
        </w:rPr>
        <w:t>"</w:t>
      </w:r>
      <w:r w:rsidRPr="003201C3">
        <w:rPr>
          <w:rStyle w:val="Hyperlink"/>
          <w:color w:val="auto"/>
          <w:u w:val="none"/>
        </w:rPr>
        <w:t xml:space="preserve">, or </w:t>
      </w:r>
      <w:r w:rsidR="00126B43">
        <w:rPr>
          <w:rStyle w:val="Hyperlink"/>
          <w:color w:val="auto"/>
          <w:u w:val="none"/>
        </w:rPr>
        <w:t>"</w:t>
      </w:r>
      <w:r w:rsidRPr="003201C3">
        <w:rPr>
          <w:rStyle w:val="Hyperlink"/>
          <w:color w:val="auto"/>
          <w:u w:val="none"/>
        </w:rPr>
        <w:t>believes</w:t>
      </w:r>
      <w:r w:rsidR="00126B43">
        <w:rPr>
          <w:rStyle w:val="Hyperlink"/>
          <w:color w:val="auto"/>
          <w:u w:val="none"/>
        </w:rPr>
        <w:t>"</w:t>
      </w:r>
      <w:r w:rsidRPr="003201C3">
        <w:rPr>
          <w:rStyle w:val="Hyperlink"/>
          <w:color w:val="auto"/>
          <w:u w:val="none"/>
        </w:rPr>
        <w:t>, or variations of such words and phrases</w:t>
      </w:r>
      <w:r w:rsidR="006716C9">
        <w:rPr>
          <w:rStyle w:val="Hyperlink"/>
          <w:color w:val="auto"/>
          <w:u w:val="none"/>
        </w:rPr>
        <w:t xml:space="preserve"> </w:t>
      </w:r>
      <w:r w:rsidRPr="003201C3">
        <w:rPr>
          <w:rStyle w:val="Hyperlink"/>
          <w:color w:val="auto"/>
          <w:u w:val="none"/>
        </w:rPr>
        <w:t xml:space="preserve">or may contain statements that certain actions, events or results </w:t>
      </w:r>
      <w:r w:rsidR="00126B43">
        <w:rPr>
          <w:rStyle w:val="Hyperlink"/>
          <w:color w:val="auto"/>
          <w:u w:val="none"/>
        </w:rPr>
        <w:t>"</w:t>
      </w:r>
      <w:r w:rsidRPr="003201C3">
        <w:rPr>
          <w:rStyle w:val="Hyperlink"/>
          <w:color w:val="auto"/>
          <w:u w:val="none"/>
        </w:rPr>
        <w:t>may</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could</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would</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might</w:t>
      </w:r>
      <w:r w:rsidR="00126B43">
        <w:rPr>
          <w:rStyle w:val="Hyperlink"/>
          <w:color w:val="auto"/>
          <w:u w:val="none"/>
        </w:rPr>
        <w:t>"</w:t>
      </w:r>
      <w:r w:rsidRPr="003201C3">
        <w:rPr>
          <w:rStyle w:val="Hyperlink"/>
          <w:color w:val="auto"/>
          <w:u w:val="none"/>
        </w:rPr>
        <w:t xml:space="preserve"> or </w:t>
      </w:r>
      <w:r w:rsidR="00126B43">
        <w:rPr>
          <w:rStyle w:val="Hyperlink"/>
          <w:color w:val="auto"/>
          <w:u w:val="none"/>
        </w:rPr>
        <w:t>"</w:t>
      </w:r>
      <w:r w:rsidRPr="003201C3">
        <w:rPr>
          <w:rStyle w:val="Hyperlink"/>
          <w:color w:val="auto"/>
          <w:u w:val="none"/>
        </w:rPr>
        <w:t>will be taken</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will</w:t>
      </w:r>
      <w:r w:rsidR="006716C9">
        <w:rPr>
          <w:rStyle w:val="Hyperlink"/>
          <w:color w:val="auto"/>
          <w:u w:val="none"/>
        </w:rPr>
        <w:t xml:space="preserve"> </w:t>
      </w:r>
      <w:r w:rsidRPr="003201C3">
        <w:rPr>
          <w:rStyle w:val="Hyperlink"/>
          <w:color w:val="auto"/>
          <w:u w:val="none"/>
        </w:rPr>
        <w:t>continue</w:t>
      </w:r>
      <w:r w:rsidR="00126B43">
        <w:rPr>
          <w:rStyle w:val="Hyperlink"/>
          <w:color w:val="auto"/>
          <w:u w:val="none"/>
        </w:rPr>
        <w:t>"</w:t>
      </w:r>
      <w:r w:rsidRPr="003201C3">
        <w:rPr>
          <w:rStyle w:val="Hyperlink"/>
          <w:color w:val="auto"/>
          <w:u w:val="none"/>
        </w:rPr>
        <w:t xml:space="preserve">, </w:t>
      </w:r>
      <w:r w:rsidR="00126B43">
        <w:rPr>
          <w:rStyle w:val="Hyperlink"/>
          <w:color w:val="auto"/>
          <w:u w:val="none"/>
        </w:rPr>
        <w:t>"</w:t>
      </w:r>
      <w:r w:rsidRPr="003201C3">
        <w:rPr>
          <w:rStyle w:val="Hyperlink"/>
          <w:color w:val="auto"/>
          <w:u w:val="none"/>
        </w:rPr>
        <w:t>will occur</w:t>
      </w:r>
      <w:r w:rsidR="00126B43">
        <w:rPr>
          <w:rStyle w:val="Hyperlink"/>
          <w:color w:val="auto"/>
          <w:u w:val="none"/>
        </w:rPr>
        <w:t>"</w:t>
      </w:r>
      <w:r w:rsidRPr="003201C3">
        <w:rPr>
          <w:rStyle w:val="Hyperlink"/>
          <w:color w:val="auto"/>
          <w:u w:val="none"/>
        </w:rPr>
        <w:t xml:space="preserve"> or </w:t>
      </w:r>
      <w:r w:rsidR="00126B43">
        <w:rPr>
          <w:rStyle w:val="Hyperlink"/>
          <w:color w:val="auto"/>
          <w:u w:val="none"/>
        </w:rPr>
        <w:t>"</w:t>
      </w:r>
      <w:r w:rsidRPr="003201C3">
        <w:rPr>
          <w:rStyle w:val="Hyperlink"/>
          <w:color w:val="auto"/>
          <w:u w:val="none"/>
        </w:rPr>
        <w:t>will be achieved</w:t>
      </w:r>
      <w:r w:rsidR="00126B43">
        <w:rPr>
          <w:rStyle w:val="Hyperlink"/>
          <w:color w:val="auto"/>
          <w:u w:val="none"/>
        </w:rPr>
        <w:t>"</w:t>
      </w:r>
      <w:r w:rsidRPr="003201C3">
        <w:rPr>
          <w:rStyle w:val="Hyperlink"/>
          <w:color w:val="auto"/>
          <w:u w:val="none"/>
        </w:rPr>
        <w:t>. The forward-looking information contained herein may include, but is not limited to,</w:t>
      </w:r>
      <w:r w:rsidR="006716C9">
        <w:rPr>
          <w:rStyle w:val="Hyperlink"/>
          <w:color w:val="auto"/>
          <w:u w:val="none"/>
        </w:rPr>
        <w:t xml:space="preserve"> </w:t>
      </w:r>
      <w:r w:rsidRPr="003201C3">
        <w:rPr>
          <w:rStyle w:val="Hyperlink"/>
          <w:color w:val="auto"/>
          <w:u w:val="none"/>
        </w:rPr>
        <w:t>information concerning the estimated filing date of the Annual Filings</w:t>
      </w:r>
      <w:r w:rsidR="00BF40E1">
        <w:rPr>
          <w:rStyle w:val="Hyperlink"/>
          <w:color w:val="auto"/>
          <w:u w:val="none"/>
        </w:rPr>
        <w:t xml:space="preserve"> and </w:t>
      </w:r>
      <w:r w:rsidR="00BF40E1" w:rsidRPr="00BF40E1">
        <w:rPr>
          <w:rStyle w:val="Hyperlink"/>
          <w:color w:val="auto"/>
          <w:u w:val="none"/>
        </w:rPr>
        <w:t>the Company's ability to complete the audit and file the Annual Filings</w:t>
      </w:r>
      <w:r w:rsidR="000E4B07">
        <w:rPr>
          <w:rStyle w:val="Hyperlink"/>
          <w:color w:val="auto"/>
          <w:u w:val="none"/>
        </w:rPr>
        <w:t>.</w:t>
      </w:r>
      <w:r w:rsidR="00F011E7">
        <w:rPr>
          <w:rStyle w:val="Hyperlink"/>
          <w:color w:val="auto"/>
          <w:u w:val="none"/>
        </w:rPr>
        <w:t xml:space="preserve"> </w:t>
      </w:r>
    </w:p>
    <w:p w14:paraId="73061202" w14:textId="48794ED8" w:rsidR="003201C3" w:rsidRDefault="000E4B07" w:rsidP="003201C3">
      <w:pPr>
        <w:spacing w:after="240" w:line="250" w:lineRule="auto"/>
        <w:jc w:val="both"/>
        <w:rPr>
          <w:rStyle w:val="Hyperlink"/>
          <w:color w:val="auto"/>
          <w:u w:val="none"/>
        </w:rPr>
      </w:pPr>
      <w:r>
        <w:rPr>
          <w:rStyle w:val="Hyperlink"/>
          <w:color w:val="auto"/>
          <w:u w:val="none"/>
        </w:rPr>
        <w:t>B</w:t>
      </w:r>
      <w:r w:rsidR="003201C3" w:rsidRPr="003201C3">
        <w:rPr>
          <w:rStyle w:val="Hyperlink"/>
          <w:color w:val="auto"/>
          <w:u w:val="none"/>
        </w:rPr>
        <w:t>y identifying such information and statements in this manner, the Company is alerting the reader that such information and</w:t>
      </w:r>
      <w:r w:rsidR="006716C9">
        <w:rPr>
          <w:rStyle w:val="Hyperlink"/>
          <w:color w:val="auto"/>
          <w:u w:val="none"/>
        </w:rPr>
        <w:t xml:space="preserve"> </w:t>
      </w:r>
      <w:r w:rsidR="003201C3" w:rsidRPr="003201C3">
        <w:rPr>
          <w:rStyle w:val="Hyperlink"/>
          <w:color w:val="auto"/>
          <w:u w:val="none"/>
        </w:rPr>
        <w:t>statements are subject to known and unknown risks, uncertainties and other factors that may cause the actual results, level of</w:t>
      </w:r>
      <w:r w:rsidR="006716C9">
        <w:rPr>
          <w:rStyle w:val="Hyperlink"/>
          <w:color w:val="auto"/>
          <w:u w:val="none"/>
        </w:rPr>
        <w:t xml:space="preserve"> </w:t>
      </w:r>
      <w:r w:rsidR="003201C3" w:rsidRPr="003201C3">
        <w:rPr>
          <w:rStyle w:val="Hyperlink"/>
          <w:color w:val="auto"/>
          <w:u w:val="none"/>
        </w:rPr>
        <w:t xml:space="preserve">activity, </w:t>
      </w:r>
      <w:proofErr w:type="gramStart"/>
      <w:r w:rsidR="003201C3" w:rsidRPr="003201C3">
        <w:rPr>
          <w:rStyle w:val="Hyperlink"/>
          <w:color w:val="auto"/>
          <w:u w:val="none"/>
        </w:rPr>
        <w:t>performance</w:t>
      </w:r>
      <w:proofErr w:type="gramEnd"/>
      <w:r w:rsidR="003201C3" w:rsidRPr="003201C3">
        <w:rPr>
          <w:rStyle w:val="Hyperlink"/>
          <w:color w:val="auto"/>
          <w:u w:val="none"/>
        </w:rPr>
        <w:t xml:space="preserve"> or achievements of the Company to be materially different from those expressed or implied by such</w:t>
      </w:r>
      <w:r w:rsidR="006716C9">
        <w:rPr>
          <w:rStyle w:val="Hyperlink"/>
          <w:color w:val="auto"/>
          <w:u w:val="none"/>
        </w:rPr>
        <w:t xml:space="preserve"> </w:t>
      </w:r>
      <w:r w:rsidR="003201C3" w:rsidRPr="003201C3">
        <w:rPr>
          <w:rStyle w:val="Hyperlink"/>
          <w:color w:val="auto"/>
          <w:u w:val="none"/>
        </w:rPr>
        <w:t>information and statements.</w:t>
      </w:r>
      <w:r w:rsidR="00DF64F3">
        <w:rPr>
          <w:rStyle w:val="Hyperlink"/>
          <w:color w:val="auto"/>
          <w:u w:val="none"/>
        </w:rPr>
        <w:t xml:space="preserve"> Some of these risks include, but are not limited to, the risk that the Annual Filings are filed later than anticipated</w:t>
      </w:r>
      <w:r w:rsidR="00BF40E1">
        <w:rPr>
          <w:rStyle w:val="Hyperlink"/>
          <w:color w:val="auto"/>
          <w:u w:val="none"/>
        </w:rPr>
        <w:t xml:space="preserve"> or at all</w:t>
      </w:r>
      <w:r w:rsidR="00DF64F3">
        <w:rPr>
          <w:rStyle w:val="Hyperlink"/>
          <w:color w:val="auto"/>
          <w:u w:val="none"/>
        </w:rPr>
        <w:t xml:space="preserve">, </w:t>
      </w:r>
      <w:r w:rsidR="00BF40E1">
        <w:rPr>
          <w:rStyle w:val="Hyperlink"/>
          <w:color w:val="auto"/>
          <w:u w:val="none"/>
        </w:rPr>
        <w:t>or the Company does not comply with the provisions set out in NP 12-203</w:t>
      </w:r>
      <w:r w:rsidR="00DF64F3" w:rsidRPr="00EF33CC">
        <w:rPr>
          <w:rStyle w:val="Hyperlink"/>
          <w:color w:val="auto"/>
          <w:u w:val="none"/>
        </w:rPr>
        <w:t xml:space="preserve">, </w:t>
      </w:r>
      <w:r w:rsidR="00201809" w:rsidRPr="00EF33CC">
        <w:rPr>
          <w:rStyle w:val="Hyperlink"/>
          <w:color w:val="auto"/>
          <w:u w:val="none"/>
        </w:rPr>
        <w:t>in which case there is</w:t>
      </w:r>
      <w:r w:rsidR="00DF64F3" w:rsidRPr="00EF33CC">
        <w:rPr>
          <w:rStyle w:val="Hyperlink"/>
          <w:color w:val="auto"/>
          <w:u w:val="none"/>
        </w:rPr>
        <w:t xml:space="preserve"> </w:t>
      </w:r>
      <w:r w:rsidR="00201809" w:rsidRPr="00EF33CC">
        <w:rPr>
          <w:rStyle w:val="Hyperlink"/>
          <w:color w:val="auto"/>
          <w:u w:val="none"/>
        </w:rPr>
        <w:t>a</w:t>
      </w:r>
      <w:r w:rsidR="00DF64F3" w:rsidRPr="00EF33CC">
        <w:rPr>
          <w:rStyle w:val="Hyperlink"/>
          <w:color w:val="auto"/>
          <w:u w:val="none"/>
        </w:rPr>
        <w:t xml:space="preserve"> risk that trading in the Company’s securities </w:t>
      </w:r>
      <w:r w:rsidR="00201809" w:rsidRPr="00EF33CC">
        <w:rPr>
          <w:rStyle w:val="Hyperlink"/>
          <w:color w:val="auto"/>
          <w:u w:val="none"/>
        </w:rPr>
        <w:t>may</w:t>
      </w:r>
      <w:r w:rsidR="00DF64F3" w:rsidRPr="00EF33CC">
        <w:rPr>
          <w:rStyle w:val="Hyperlink"/>
          <w:color w:val="auto"/>
          <w:u w:val="none"/>
        </w:rPr>
        <w:t xml:space="preserve"> halted and/or cease traded temporarily </w:t>
      </w:r>
      <w:r w:rsidR="00201809" w:rsidRPr="00EF33CC">
        <w:rPr>
          <w:rStyle w:val="Hyperlink"/>
          <w:color w:val="auto"/>
          <w:u w:val="none"/>
        </w:rPr>
        <w:t xml:space="preserve">by the Canadian securities commissions </w:t>
      </w:r>
      <w:r w:rsidR="00DF64F3" w:rsidRPr="00EF33CC">
        <w:rPr>
          <w:rStyle w:val="Hyperlink"/>
          <w:color w:val="auto"/>
          <w:u w:val="none"/>
        </w:rPr>
        <w:t xml:space="preserve">until </w:t>
      </w:r>
      <w:r w:rsidR="00201809" w:rsidRPr="00EF33CC">
        <w:rPr>
          <w:rStyle w:val="Hyperlink"/>
          <w:color w:val="auto"/>
          <w:u w:val="none"/>
        </w:rPr>
        <w:t xml:space="preserve">such time as </w:t>
      </w:r>
      <w:r w:rsidR="00DF64F3" w:rsidRPr="00EF33CC">
        <w:rPr>
          <w:rStyle w:val="Hyperlink"/>
          <w:color w:val="auto"/>
          <w:u w:val="none"/>
        </w:rPr>
        <w:t xml:space="preserve">the Annual Filings are </w:t>
      </w:r>
      <w:r w:rsidR="00201809" w:rsidRPr="00EF33CC">
        <w:rPr>
          <w:rStyle w:val="Hyperlink"/>
          <w:color w:val="auto"/>
          <w:u w:val="none"/>
        </w:rPr>
        <w:t>filed on SEDAR.</w:t>
      </w:r>
    </w:p>
    <w:p w14:paraId="212A5C7C" w14:textId="18264834" w:rsidR="006716C9" w:rsidRPr="00BA5A8F" w:rsidRDefault="00F244D8" w:rsidP="00BA5A8F">
      <w:pPr>
        <w:spacing w:after="240" w:line="250" w:lineRule="auto"/>
        <w:jc w:val="both"/>
      </w:pPr>
      <w:r w:rsidRPr="003201C3">
        <w:rPr>
          <w:rStyle w:val="Hyperlink"/>
          <w:color w:val="auto"/>
          <w:u w:val="none"/>
        </w:rPr>
        <w:t>Although the Company</w:t>
      </w:r>
      <w:r>
        <w:rPr>
          <w:rStyle w:val="Hyperlink"/>
          <w:color w:val="auto"/>
          <w:u w:val="none"/>
        </w:rPr>
        <w:t xml:space="preserve"> </w:t>
      </w:r>
      <w:r w:rsidRPr="003201C3">
        <w:rPr>
          <w:rStyle w:val="Hyperlink"/>
          <w:color w:val="auto"/>
          <w:u w:val="none"/>
        </w:rPr>
        <w:t>has attempted to identify important factors that could cause actual results to differ materially from those contained in the</w:t>
      </w:r>
      <w:r>
        <w:rPr>
          <w:rStyle w:val="Hyperlink"/>
          <w:color w:val="auto"/>
          <w:u w:val="none"/>
        </w:rPr>
        <w:t xml:space="preserve"> </w:t>
      </w:r>
      <w:r w:rsidRPr="003201C3">
        <w:rPr>
          <w:rStyle w:val="Hyperlink"/>
          <w:color w:val="auto"/>
          <w:u w:val="none"/>
        </w:rPr>
        <w:t>forward-looking information, there may be other factors that cause results not to be as</w:t>
      </w:r>
      <w:r>
        <w:rPr>
          <w:rStyle w:val="Hyperlink"/>
          <w:color w:val="auto"/>
          <w:u w:val="none"/>
        </w:rPr>
        <w:t xml:space="preserve"> </w:t>
      </w:r>
      <w:r w:rsidRPr="003201C3">
        <w:rPr>
          <w:rStyle w:val="Hyperlink"/>
          <w:color w:val="auto"/>
          <w:u w:val="none"/>
        </w:rPr>
        <w:t>anticipated, estimated or intended.</w:t>
      </w:r>
    </w:p>
    <w:p w14:paraId="712ABB57" w14:textId="7907625F" w:rsidR="003201C3" w:rsidRDefault="003201C3" w:rsidP="003201C3">
      <w:pPr>
        <w:spacing w:after="240" w:line="250" w:lineRule="auto"/>
        <w:jc w:val="both"/>
        <w:rPr>
          <w:rStyle w:val="Hyperlink"/>
          <w:color w:val="auto"/>
          <w:u w:val="none"/>
        </w:rPr>
      </w:pPr>
      <w:r w:rsidRPr="003201C3">
        <w:rPr>
          <w:rStyle w:val="Hyperlink"/>
          <w:color w:val="auto"/>
          <w:u w:val="none"/>
        </w:rPr>
        <w:t xml:space="preserve">In connection with the forward-looking information contained in this </w:t>
      </w:r>
      <w:r w:rsidR="00BA5A8F">
        <w:rPr>
          <w:rStyle w:val="Hyperlink"/>
          <w:color w:val="auto"/>
          <w:u w:val="none"/>
        </w:rPr>
        <w:t xml:space="preserve">news </w:t>
      </w:r>
      <w:r w:rsidRPr="003201C3">
        <w:rPr>
          <w:rStyle w:val="Hyperlink"/>
          <w:color w:val="auto"/>
          <w:u w:val="none"/>
        </w:rPr>
        <w:t>release, the</w:t>
      </w:r>
      <w:r w:rsidR="006716C9">
        <w:rPr>
          <w:rStyle w:val="Hyperlink"/>
          <w:color w:val="auto"/>
          <w:u w:val="none"/>
        </w:rPr>
        <w:t xml:space="preserve"> </w:t>
      </w:r>
      <w:r w:rsidRPr="003201C3">
        <w:rPr>
          <w:rStyle w:val="Hyperlink"/>
          <w:color w:val="auto"/>
          <w:u w:val="none"/>
        </w:rPr>
        <w:t>Company has made certain assumptions. Although the Company believes that the assumptions and factors used in preparing,</w:t>
      </w:r>
      <w:r w:rsidR="006716C9">
        <w:rPr>
          <w:rStyle w:val="Hyperlink"/>
          <w:color w:val="auto"/>
          <w:u w:val="none"/>
        </w:rPr>
        <w:t xml:space="preserve"> </w:t>
      </w:r>
      <w:r w:rsidRPr="003201C3">
        <w:rPr>
          <w:rStyle w:val="Hyperlink"/>
          <w:color w:val="auto"/>
          <w:u w:val="none"/>
        </w:rPr>
        <w:t>and the expectations contained in, the forward-looking information and statements are reasonable, undue reliance should not</w:t>
      </w:r>
      <w:r w:rsidR="006716C9">
        <w:rPr>
          <w:rStyle w:val="Hyperlink"/>
          <w:color w:val="auto"/>
          <w:u w:val="none"/>
        </w:rPr>
        <w:t xml:space="preserve"> </w:t>
      </w:r>
      <w:r w:rsidRPr="003201C3">
        <w:rPr>
          <w:rStyle w:val="Hyperlink"/>
          <w:color w:val="auto"/>
          <w:u w:val="none"/>
        </w:rPr>
        <w:t>be placed on such information and statements, and no assurance or guarantee can be given that such forward-looking</w:t>
      </w:r>
      <w:r w:rsidR="006716C9">
        <w:rPr>
          <w:rStyle w:val="Hyperlink"/>
          <w:color w:val="auto"/>
          <w:u w:val="none"/>
        </w:rPr>
        <w:t xml:space="preserve"> </w:t>
      </w:r>
      <w:r w:rsidRPr="003201C3">
        <w:rPr>
          <w:rStyle w:val="Hyperlink"/>
          <w:color w:val="auto"/>
          <w:u w:val="none"/>
        </w:rPr>
        <w:t>information and statements will prove to be accurate, as actual results and future events could differ materially from those</w:t>
      </w:r>
      <w:r w:rsidR="006716C9">
        <w:rPr>
          <w:rStyle w:val="Hyperlink"/>
          <w:color w:val="auto"/>
          <w:u w:val="none"/>
        </w:rPr>
        <w:t xml:space="preserve"> </w:t>
      </w:r>
      <w:r w:rsidRPr="003201C3">
        <w:rPr>
          <w:rStyle w:val="Hyperlink"/>
          <w:color w:val="auto"/>
          <w:u w:val="none"/>
        </w:rPr>
        <w:t>anticipated in such information and statements. The forward-looking information contained in</w:t>
      </w:r>
      <w:r w:rsidR="006716C9">
        <w:rPr>
          <w:rStyle w:val="Hyperlink"/>
          <w:color w:val="auto"/>
          <w:u w:val="none"/>
        </w:rPr>
        <w:t xml:space="preserve"> </w:t>
      </w:r>
      <w:r w:rsidRPr="003201C3">
        <w:rPr>
          <w:rStyle w:val="Hyperlink"/>
          <w:color w:val="auto"/>
          <w:u w:val="none"/>
        </w:rPr>
        <w:t xml:space="preserve">this </w:t>
      </w:r>
      <w:r w:rsidR="00BA5A8F">
        <w:rPr>
          <w:rStyle w:val="Hyperlink"/>
          <w:color w:val="auto"/>
          <w:u w:val="none"/>
        </w:rPr>
        <w:t xml:space="preserve">news </w:t>
      </w:r>
      <w:r w:rsidRPr="003201C3">
        <w:rPr>
          <w:rStyle w:val="Hyperlink"/>
          <w:color w:val="auto"/>
          <w:u w:val="none"/>
        </w:rPr>
        <w:t xml:space="preserve">release are made as of the date of this </w:t>
      </w:r>
      <w:r w:rsidR="00BA5A8F">
        <w:rPr>
          <w:rStyle w:val="Hyperlink"/>
          <w:color w:val="auto"/>
          <w:u w:val="none"/>
        </w:rPr>
        <w:t xml:space="preserve">news </w:t>
      </w:r>
      <w:r w:rsidRPr="003201C3">
        <w:rPr>
          <w:rStyle w:val="Hyperlink"/>
          <w:color w:val="auto"/>
          <w:u w:val="none"/>
        </w:rPr>
        <w:t>release, and the Company does not undertake to update any forward</w:t>
      </w:r>
      <w:r w:rsidR="006716C9">
        <w:rPr>
          <w:rStyle w:val="Hyperlink"/>
          <w:color w:val="auto"/>
          <w:u w:val="none"/>
        </w:rPr>
        <w:t>-</w:t>
      </w:r>
      <w:r w:rsidRPr="003201C3">
        <w:rPr>
          <w:rStyle w:val="Hyperlink"/>
          <w:color w:val="auto"/>
          <w:u w:val="none"/>
        </w:rPr>
        <w:t>looking information and/or forward-looking statements that are contained or referenced herein, except in accordance with</w:t>
      </w:r>
      <w:r w:rsidR="006716C9">
        <w:rPr>
          <w:rStyle w:val="Hyperlink"/>
          <w:color w:val="auto"/>
          <w:u w:val="none"/>
        </w:rPr>
        <w:t xml:space="preserve"> </w:t>
      </w:r>
      <w:r w:rsidRPr="003201C3">
        <w:rPr>
          <w:rStyle w:val="Hyperlink"/>
          <w:color w:val="auto"/>
          <w:u w:val="none"/>
        </w:rPr>
        <w:t>applicable securities laws. All subsequent written and oral forward-looking information and statements attributable to the</w:t>
      </w:r>
      <w:r w:rsidR="006716C9">
        <w:rPr>
          <w:rStyle w:val="Hyperlink"/>
          <w:color w:val="auto"/>
          <w:u w:val="none"/>
        </w:rPr>
        <w:t xml:space="preserve"> </w:t>
      </w:r>
      <w:r w:rsidRPr="003201C3">
        <w:rPr>
          <w:rStyle w:val="Hyperlink"/>
          <w:color w:val="auto"/>
          <w:u w:val="none"/>
        </w:rPr>
        <w:t>Company or persons acting on its behalf are expressly qualified in their entirety by this</w:t>
      </w:r>
      <w:r w:rsidR="006716C9">
        <w:rPr>
          <w:rStyle w:val="Hyperlink"/>
          <w:color w:val="auto"/>
          <w:u w:val="none"/>
        </w:rPr>
        <w:t xml:space="preserve"> </w:t>
      </w:r>
      <w:r w:rsidRPr="003201C3">
        <w:rPr>
          <w:rStyle w:val="Hyperlink"/>
          <w:color w:val="auto"/>
          <w:u w:val="none"/>
        </w:rPr>
        <w:t>notice</w:t>
      </w:r>
      <w:r w:rsidR="006716C9">
        <w:rPr>
          <w:rStyle w:val="Hyperlink"/>
          <w:color w:val="auto"/>
          <w:u w:val="none"/>
        </w:rPr>
        <w:t>.</w:t>
      </w:r>
    </w:p>
    <w:sectPr w:rsidR="003201C3" w:rsidSect="00E6361E">
      <w:headerReference w:type="default" r:id="rId8"/>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4573" w14:textId="77777777" w:rsidR="00E6361E" w:rsidRDefault="00E6361E" w:rsidP="00C84FE5">
      <w:pPr>
        <w:spacing w:after="0" w:line="240" w:lineRule="auto"/>
      </w:pPr>
      <w:r>
        <w:separator/>
      </w:r>
    </w:p>
  </w:endnote>
  <w:endnote w:type="continuationSeparator" w:id="0">
    <w:p w14:paraId="6732CB84" w14:textId="77777777" w:rsidR="00E6361E" w:rsidRDefault="00E6361E" w:rsidP="00C8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3FD4" w14:textId="77777777" w:rsidR="00E6361E" w:rsidRDefault="00E6361E" w:rsidP="00C84FE5">
      <w:pPr>
        <w:spacing w:after="0" w:line="240" w:lineRule="auto"/>
      </w:pPr>
      <w:r>
        <w:separator/>
      </w:r>
    </w:p>
  </w:footnote>
  <w:footnote w:type="continuationSeparator" w:id="0">
    <w:p w14:paraId="49B67C26" w14:textId="77777777" w:rsidR="00E6361E" w:rsidRDefault="00E6361E" w:rsidP="00C8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506077"/>
      <w:docPartObj>
        <w:docPartGallery w:val="Page Numbers (Top of Page)"/>
        <w:docPartUnique/>
      </w:docPartObj>
    </w:sdtPr>
    <w:sdtEndPr>
      <w:rPr>
        <w:noProof/>
      </w:rPr>
    </w:sdtEndPr>
    <w:sdtContent>
      <w:p w14:paraId="5F695381" w14:textId="58B0B766" w:rsidR="00AB359D" w:rsidRDefault="00AB359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905926" w14:textId="77777777" w:rsidR="00BA5A8F" w:rsidRDefault="00BA5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tDA1MjazNLQ0NzZX0lEKTi0uzszPAykwrgUA1cZpwiwAAAA="/>
  </w:docVars>
  <w:rsids>
    <w:rsidRoot w:val="004C3900"/>
    <w:rsid w:val="00000295"/>
    <w:rsid w:val="00076FB9"/>
    <w:rsid w:val="00090C04"/>
    <w:rsid w:val="000B5C82"/>
    <w:rsid w:val="000E4B07"/>
    <w:rsid w:val="00126B43"/>
    <w:rsid w:val="001308B1"/>
    <w:rsid w:val="0013337E"/>
    <w:rsid w:val="0014007B"/>
    <w:rsid w:val="001E3208"/>
    <w:rsid w:val="00201809"/>
    <w:rsid w:val="0024020B"/>
    <w:rsid w:val="002517F6"/>
    <w:rsid w:val="00261ECA"/>
    <w:rsid w:val="00293324"/>
    <w:rsid w:val="002958FF"/>
    <w:rsid w:val="002E1599"/>
    <w:rsid w:val="002F27B3"/>
    <w:rsid w:val="002F2B15"/>
    <w:rsid w:val="003065E3"/>
    <w:rsid w:val="0030710B"/>
    <w:rsid w:val="003160F1"/>
    <w:rsid w:val="003201C3"/>
    <w:rsid w:val="0032354F"/>
    <w:rsid w:val="003E3522"/>
    <w:rsid w:val="003E76F0"/>
    <w:rsid w:val="003F19B6"/>
    <w:rsid w:val="00443D7F"/>
    <w:rsid w:val="00454E84"/>
    <w:rsid w:val="004C3900"/>
    <w:rsid w:val="004C51C7"/>
    <w:rsid w:val="004E11D8"/>
    <w:rsid w:val="004E7C32"/>
    <w:rsid w:val="005053B4"/>
    <w:rsid w:val="005119F9"/>
    <w:rsid w:val="0054519D"/>
    <w:rsid w:val="005558BE"/>
    <w:rsid w:val="00555EF0"/>
    <w:rsid w:val="0056736E"/>
    <w:rsid w:val="005F3E24"/>
    <w:rsid w:val="00622A7E"/>
    <w:rsid w:val="00630D49"/>
    <w:rsid w:val="0063396C"/>
    <w:rsid w:val="006712BF"/>
    <w:rsid w:val="006716C9"/>
    <w:rsid w:val="00692934"/>
    <w:rsid w:val="006B3995"/>
    <w:rsid w:val="006B4024"/>
    <w:rsid w:val="007102E6"/>
    <w:rsid w:val="007140CA"/>
    <w:rsid w:val="007165DE"/>
    <w:rsid w:val="00736151"/>
    <w:rsid w:val="0074092E"/>
    <w:rsid w:val="00746003"/>
    <w:rsid w:val="00747658"/>
    <w:rsid w:val="007636BF"/>
    <w:rsid w:val="00777A7C"/>
    <w:rsid w:val="00784AE7"/>
    <w:rsid w:val="007B5898"/>
    <w:rsid w:val="007B695B"/>
    <w:rsid w:val="007E307F"/>
    <w:rsid w:val="00830494"/>
    <w:rsid w:val="008308DA"/>
    <w:rsid w:val="00834345"/>
    <w:rsid w:val="008430EA"/>
    <w:rsid w:val="0085392A"/>
    <w:rsid w:val="008A074E"/>
    <w:rsid w:val="00930A46"/>
    <w:rsid w:val="00967744"/>
    <w:rsid w:val="009A716D"/>
    <w:rsid w:val="009F1E29"/>
    <w:rsid w:val="00A07728"/>
    <w:rsid w:val="00A23511"/>
    <w:rsid w:val="00A4358D"/>
    <w:rsid w:val="00A4470C"/>
    <w:rsid w:val="00A47205"/>
    <w:rsid w:val="00A83C6B"/>
    <w:rsid w:val="00A91E6F"/>
    <w:rsid w:val="00AB359D"/>
    <w:rsid w:val="00AF4261"/>
    <w:rsid w:val="00B01888"/>
    <w:rsid w:val="00B54AFB"/>
    <w:rsid w:val="00B57647"/>
    <w:rsid w:val="00B82A98"/>
    <w:rsid w:val="00BA2362"/>
    <w:rsid w:val="00BA5A8F"/>
    <w:rsid w:val="00BE28C0"/>
    <w:rsid w:val="00BF40E1"/>
    <w:rsid w:val="00C073D4"/>
    <w:rsid w:val="00C50C2A"/>
    <w:rsid w:val="00C619BC"/>
    <w:rsid w:val="00C644A7"/>
    <w:rsid w:val="00C83E45"/>
    <w:rsid w:val="00C84FE5"/>
    <w:rsid w:val="00C8596B"/>
    <w:rsid w:val="00CA173B"/>
    <w:rsid w:val="00CD3F34"/>
    <w:rsid w:val="00CE4746"/>
    <w:rsid w:val="00D360C3"/>
    <w:rsid w:val="00DF64F3"/>
    <w:rsid w:val="00E1314B"/>
    <w:rsid w:val="00E6361E"/>
    <w:rsid w:val="00E77B4A"/>
    <w:rsid w:val="00ED6E7E"/>
    <w:rsid w:val="00EF33CC"/>
    <w:rsid w:val="00EF377B"/>
    <w:rsid w:val="00F011E7"/>
    <w:rsid w:val="00F108DA"/>
    <w:rsid w:val="00F220CF"/>
    <w:rsid w:val="00F244D8"/>
    <w:rsid w:val="00F45AED"/>
    <w:rsid w:val="00F473A0"/>
    <w:rsid w:val="00F57A98"/>
    <w:rsid w:val="00FC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68C1"/>
  <w15:chartTrackingRefBased/>
  <w15:docId w15:val="{17C05EB8-BA07-4972-84B2-0233AA67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FE5"/>
  </w:style>
  <w:style w:type="paragraph" w:styleId="Footer">
    <w:name w:val="footer"/>
    <w:basedOn w:val="Normal"/>
    <w:link w:val="FooterChar"/>
    <w:uiPriority w:val="99"/>
    <w:unhideWhenUsed/>
    <w:rsid w:val="00C8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FE5"/>
  </w:style>
  <w:style w:type="character" w:styleId="Hyperlink">
    <w:name w:val="Hyperlink"/>
    <w:basedOn w:val="DefaultParagraphFont"/>
    <w:uiPriority w:val="99"/>
    <w:unhideWhenUsed/>
    <w:rsid w:val="00C84FE5"/>
    <w:rPr>
      <w:color w:val="0563C1" w:themeColor="hyperlink"/>
      <w:u w:val="single"/>
    </w:rPr>
  </w:style>
  <w:style w:type="paragraph" w:styleId="BalloonText">
    <w:name w:val="Balloon Text"/>
    <w:basedOn w:val="Normal"/>
    <w:link w:val="BalloonTextChar"/>
    <w:uiPriority w:val="99"/>
    <w:semiHidden/>
    <w:unhideWhenUsed/>
    <w:rsid w:val="00A4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58D"/>
    <w:rPr>
      <w:rFonts w:ascii="Segoe UI" w:hAnsi="Segoe UI" w:cs="Segoe UI"/>
      <w:sz w:val="18"/>
      <w:szCs w:val="18"/>
    </w:rPr>
  </w:style>
  <w:style w:type="character" w:styleId="CommentReference">
    <w:name w:val="annotation reference"/>
    <w:basedOn w:val="DefaultParagraphFont"/>
    <w:uiPriority w:val="99"/>
    <w:semiHidden/>
    <w:unhideWhenUsed/>
    <w:rsid w:val="00A4358D"/>
    <w:rPr>
      <w:sz w:val="16"/>
      <w:szCs w:val="16"/>
    </w:rPr>
  </w:style>
  <w:style w:type="paragraph" w:styleId="CommentText">
    <w:name w:val="annotation text"/>
    <w:basedOn w:val="Normal"/>
    <w:link w:val="CommentTextChar"/>
    <w:uiPriority w:val="99"/>
    <w:semiHidden/>
    <w:unhideWhenUsed/>
    <w:rsid w:val="00A4358D"/>
    <w:pPr>
      <w:spacing w:line="240" w:lineRule="auto"/>
    </w:pPr>
    <w:rPr>
      <w:sz w:val="20"/>
      <w:szCs w:val="20"/>
    </w:rPr>
  </w:style>
  <w:style w:type="character" w:customStyle="1" w:styleId="CommentTextChar">
    <w:name w:val="Comment Text Char"/>
    <w:basedOn w:val="DefaultParagraphFont"/>
    <w:link w:val="CommentText"/>
    <w:uiPriority w:val="99"/>
    <w:semiHidden/>
    <w:rsid w:val="00A4358D"/>
    <w:rPr>
      <w:sz w:val="20"/>
      <w:szCs w:val="20"/>
    </w:rPr>
  </w:style>
  <w:style w:type="paragraph" w:styleId="CommentSubject">
    <w:name w:val="annotation subject"/>
    <w:basedOn w:val="CommentText"/>
    <w:next w:val="CommentText"/>
    <w:link w:val="CommentSubjectChar"/>
    <w:uiPriority w:val="99"/>
    <w:semiHidden/>
    <w:unhideWhenUsed/>
    <w:rsid w:val="00A4358D"/>
    <w:rPr>
      <w:b/>
      <w:bCs/>
    </w:rPr>
  </w:style>
  <w:style w:type="character" w:customStyle="1" w:styleId="CommentSubjectChar">
    <w:name w:val="Comment Subject Char"/>
    <w:basedOn w:val="CommentTextChar"/>
    <w:link w:val="CommentSubject"/>
    <w:uiPriority w:val="99"/>
    <w:semiHidden/>
    <w:rsid w:val="00A4358D"/>
    <w:rPr>
      <w:b/>
      <w:bCs/>
      <w:sz w:val="20"/>
      <w:szCs w:val="20"/>
    </w:rPr>
  </w:style>
  <w:style w:type="paragraph" w:styleId="Revision">
    <w:name w:val="Revision"/>
    <w:hidden/>
    <w:uiPriority w:val="99"/>
    <w:semiHidden/>
    <w:rsid w:val="0024020B"/>
    <w:pPr>
      <w:spacing w:after="0" w:line="240" w:lineRule="auto"/>
    </w:pPr>
  </w:style>
  <w:style w:type="character" w:styleId="UnresolvedMention">
    <w:name w:val="Unresolved Mention"/>
    <w:basedOn w:val="DefaultParagraphFont"/>
    <w:uiPriority w:val="99"/>
    <w:semiHidden/>
    <w:unhideWhenUsed/>
    <w:rsid w:val="00630D49"/>
    <w:rPr>
      <w:color w:val="605E5C"/>
      <w:shd w:val="clear" w:color="auto" w:fill="E1DFDD"/>
    </w:rPr>
  </w:style>
  <w:style w:type="paragraph" w:styleId="NormalWeb">
    <w:name w:val="Normal (Web)"/>
    <w:basedOn w:val="Normal"/>
    <w:uiPriority w:val="99"/>
    <w:semiHidden/>
    <w:unhideWhenUsed/>
    <w:rsid w:val="006712BF"/>
    <w:pPr>
      <w:spacing w:before="100" w:beforeAutospacing="1" w:after="100" w:afterAutospacing="1" w:line="240" w:lineRule="auto"/>
    </w:pPr>
    <w:rPr>
      <w:rFonts w:ascii="Calibri" w:hAnsi="Calibri" w:cs="Calibri"/>
    </w:rPr>
  </w:style>
  <w:style w:type="character" w:customStyle="1" w:styleId="s1">
    <w:name w:val="s1"/>
    <w:basedOn w:val="DefaultParagraphFont"/>
    <w:rsid w:val="007165DE"/>
  </w:style>
  <w:style w:type="paragraph" w:customStyle="1" w:styleId="p1">
    <w:name w:val="p1"/>
    <w:basedOn w:val="Normal"/>
    <w:rsid w:val="007140CA"/>
    <w:pPr>
      <w:spacing w:before="100" w:beforeAutospacing="1" w:after="100" w:afterAutospacing="1" w:line="240" w:lineRule="auto"/>
    </w:pPr>
    <w:rPr>
      <w:rFonts w:ascii="Calibri" w:hAnsi="Calibri" w:cs="Calibri"/>
    </w:rPr>
  </w:style>
  <w:style w:type="paragraph" w:customStyle="1" w:styleId="s5">
    <w:name w:val="s5"/>
    <w:basedOn w:val="Normal"/>
    <w:rsid w:val="008430EA"/>
    <w:pPr>
      <w:spacing w:before="100" w:beforeAutospacing="1" w:after="100" w:afterAutospacing="1" w:line="240" w:lineRule="auto"/>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699638">
      <w:bodyDiv w:val="1"/>
      <w:marLeft w:val="0"/>
      <w:marRight w:val="0"/>
      <w:marTop w:val="0"/>
      <w:marBottom w:val="0"/>
      <w:divBdr>
        <w:top w:val="none" w:sz="0" w:space="0" w:color="auto"/>
        <w:left w:val="none" w:sz="0" w:space="0" w:color="auto"/>
        <w:bottom w:val="none" w:sz="0" w:space="0" w:color="auto"/>
        <w:right w:val="none" w:sz="0" w:space="0" w:color="auto"/>
      </w:divBdr>
    </w:div>
    <w:div w:id="14191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estors@clcannabi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74D28-08F5-4CE7-B044-B94A6E38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Cathedral Energy Services</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Davies</dc:creator>
  <cp:keywords/>
  <dc:description/>
  <cp:lastModifiedBy>Hirji, Adil</cp:lastModifiedBy>
  <cp:revision>2</cp:revision>
  <cp:lastPrinted>2023-03-30T16:55:00Z</cp:lastPrinted>
  <dcterms:created xsi:type="dcterms:W3CDTF">2024-04-16T22:01:00Z</dcterms:created>
  <dcterms:modified xsi:type="dcterms:W3CDTF">2024-04-16T22:01:00Z</dcterms:modified>
</cp:coreProperties>
</file>